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5A" w:rsidRDefault="008A255A" w:rsidP="00745566">
      <w:pPr>
        <w:pStyle w:val="Heading10"/>
        <w:keepNext/>
        <w:keepLines/>
        <w:shd w:val="clear" w:color="auto" w:fill="auto"/>
        <w:spacing w:after="596" w:line="220" w:lineRule="exact"/>
      </w:pPr>
      <w:bookmarkStart w:id="0" w:name="_GoBack"/>
      <w:bookmarkEnd w:id="0"/>
    </w:p>
    <w:p w:rsidR="008A255A" w:rsidRDefault="007B1A20">
      <w:pPr>
        <w:pStyle w:val="Heading10"/>
        <w:keepNext/>
        <w:keepLines/>
        <w:shd w:val="clear" w:color="auto" w:fill="auto"/>
        <w:spacing w:after="166" w:line="220" w:lineRule="exact"/>
      </w:pPr>
      <w:bookmarkStart w:id="1" w:name="bookmark1"/>
      <w:r>
        <w:t>.1.OKULUMUZUN TARİHÇESİ</w:t>
      </w:r>
      <w:bookmarkEnd w:id="1"/>
    </w:p>
    <w:p w:rsidR="008A255A" w:rsidRDefault="007B1A20">
      <w:pPr>
        <w:pStyle w:val="Bodytext20"/>
        <w:shd w:val="clear" w:color="auto" w:fill="auto"/>
        <w:spacing w:before="0"/>
        <w:ind w:right="540" w:firstLine="820"/>
      </w:pPr>
      <w:r>
        <w:t>Okulumuz 2011 yılında Eski Burdur Lisesi Pansiyon binasının okul haline getirilmesi ile eğitim öğretime başlamıştır. Okulumuzun açılmasında Burdur Millet-vekili Bayram Özçelik'in ve dönemin Milli Eğitim Müdürü 'nün gayretleri olmuştur.</w:t>
      </w:r>
    </w:p>
    <w:p w:rsidR="008A255A" w:rsidRDefault="007B1A20">
      <w:pPr>
        <w:pStyle w:val="Bodytext20"/>
        <w:shd w:val="clear" w:color="auto" w:fill="auto"/>
        <w:spacing w:before="0"/>
        <w:ind w:firstLine="820"/>
        <w:jc w:val="left"/>
      </w:pPr>
      <w:r>
        <w:t>2011-2012 Eğitim-Öğretim yılında resim, müzik ve spor bölümlerine yetenek sınavıyla 30'ar öğrenci alınmıştır.</w:t>
      </w:r>
    </w:p>
    <w:p w:rsidR="008A255A" w:rsidRDefault="007B1A20">
      <w:pPr>
        <w:pStyle w:val="Bodytext20"/>
        <w:shd w:val="clear" w:color="auto" w:fill="auto"/>
        <w:spacing w:before="0"/>
        <w:ind w:firstLine="720"/>
        <w:jc w:val="left"/>
      </w:pPr>
      <w:r>
        <w:t>2013-2014 Eğitim-Öğretim yılında 16 kadrolu öğretmen ve idareci, 19 görevlendirme ve ücretli öğretmen 182 öğrenci ile Eğitim-öğretime devam etmektedir. Halen okula ait pansiyon olmayıp kız öğrencilerimiz Anadolu Öğretmen Lisesi Pansiyonunda, erkek öğrencilerimiz Burdur Lisesi Pansiyonunda kalmaktadır.</w:t>
      </w:r>
    </w:p>
    <w:p w:rsidR="008A255A" w:rsidRDefault="007B1A20">
      <w:pPr>
        <w:pStyle w:val="Bodytext20"/>
        <w:shd w:val="clear" w:color="auto" w:fill="auto"/>
        <w:spacing w:before="0" w:after="274"/>
        <w:ind w:firstLine="720"/>
        <w:jc w:val="left"/>
      </w:pPr>
      <w:r>
        <w:t xml:space="preserve">Orta öğretim genel müdürlüğünün </w:t>
      </w:r>
      <w:proofErr w:type="gramStart"/>
      <w:r>
        <w:t>14/06/2013</w:t>
      </w:r>
      <w:proofErr w:type="gramEnd"/>
      <w:r>
        <w:t xml:space="preserve"> tarihli ve 83203306/20/1380223 sayılı yazısı ile spor lisesi ayrılarak okulumuzun adı BURDUR GÜZEL SANATLAR LİSESİ olarak değiştirilmiştir.</w:t>
      </w:r>
    </w:p>
    <w:p w:rsidR="008A255A" w:rsidRDefault="007B1A20">
      <w:pPr>
        <w:pStyle w:val="Heading10"/>
        <w:keepNext/>
        <w:keepLines/>
        <w:shd w:val="clear" w:color="auto" w:fill="auto"/>
        <w:spacing w:after="180" w:line="220" w:lineRule="exact"/>
      </w:pPr>
      <w:bookmarkStart w:id="2" w:name="bookmark2"/>
      <w:r>
        <w:t>2.BÖLGEMİZİN TARİHÇESİ</w:t>
      </w:r>
      <w:bookmarkEnd w:id="2"/>
    </w:p>
    <w:p w:rsidR="008A255A" w:rsidRDefault="007B1A20">
      <w:pPr>
        <w:pStyle w:val="Bodytext20"/>
        <w:shd w:val="clear" w:color="auto" w:fill="auto"/>
        <w:spacing w:before="0"/>
        <w:ind w:firstLine="720"/>
        <w:jc w:val="left"/>
      </w:pPr>
      <w:r>
        <w:t xml:space="preserve">İlimiz </w:t>
      </w:r>
      <w:proofErr w:type="spellStart"/>
      <w:r>
        <w:t>Pisidya</w:t>
      </w:r>
      <w:proofErr w:type="spellEnd"/>
      <w:r>
        <w:t xml:space="preserve">, Roma, Bizans, Selçuklu ve Osmanlı medeniyetleri ve kültürünün uzun müddet tesiri altında kaldı. Selçuklu ve Osmanlı devrinde az da olsa çevredeki medreseleri ile kültürün yayılmasına ve birçok büyük Şahsın yetirmesine yardımcı </w:t>
      </w:r>
      <w:proofErr w:type="spellStart"/>
      <w:proofErr w:type="gramStart"/>
      <w:r>
        <w:t>oldu.ı</w:t>
      </w:r>
      <w:proofErr w:type="spellEnd"/>
      <w:proofErr w:type="gramEnd"/>
      <w:r>
        <w:t xml:space="preserve"> H.1319, 1321 (Miladi 1901,1903) Tarihli Maarif-i Umumiye Salnamelerindeki bilgilerden de anlatıldığı üzere Cumhuriyet öncesi Burdur'da eğitim-</w:t>
      </w:r>
      <w:proofErr w:type="spellStart"/>
      <w:r>
        <w:t>öğr</w:t>
      </w:r>
      <w:proofErr w:type="spellEnd"/>
      <w:r>
        <w:t xml:space="preserve"> etim konusunda Şunları söylemek mümkündür.</w:t>
      </w:r>
    </w:p>
    <w:p w:rsidR="008A255A" w:rsidRDefault="007B1A20">
      <w:pPr>
        <w:pStyle w:val="Bodytext20"/>
        <w:shd w:val="clear" w:color="auto" w:fill="auto"/>
        <w:spacing w:before="0"/>
        <w:ind w:firstLine="720"/>
        <w:jc w:val="left"/>
      </w:pPr>
      <w:r>
        <w:t>Burdur'un eğitim durumu günümüzde olduğu gibi Osmanlı döneminde de yüksektir.</w:t>
      </w:r>
    </w:p>
    <w:p w:rsidR="008A255A" w:rsidRDefault="007B1A20">
      <w:pPr>
        <w:pStyle w:val="Bodytext20"/>
        <w:shd w:val="clear" w:color="auto" w:fill="auto"/>
        <w:spacing w:before="0"/>
        <w:jc w:val="left"/>
      </w:pPr>
      <w:r>
        <w:t>Bunun en önemli nedeni Burdur halkının eğitime verdiği önemden kaynaklanmaktadır.</w:t>
      </w:r>
    </w:p>
    <w:p w:rsidR="008A255A" w:rsidRDefault="007B1A20">
      <w:pPr>
        <w:pStyle w:val="Bodytext20"/>
        <w:shd w:val="clear" w:color="auto" w:fill="auto"/>
        <w:spacing w:before="0"/>
        <w:ind w:right="1360"/>
        <w:jc w:val="left"/>
      </w:pPr>
      <w:r>
        <w:t xml:space="preserve">Salnamedeki bilgilere göre Burdur merkezi ile kaza ve köylerinde hayırsever insanların </w:t>
      </w:r>
      <w:proofErr w:type="gramStart"/>
      <w:r>
        <w:t>eğitim</w:t>
      </w:r>
      <w:proofErr w:type="gramEnd"/>
      <w:r>
        <w:t xml:space="preserve"> kurumlan kurdukları anlatılmaktadır. Burdur'da bulman medreselerin, ihtisas medreseleri olmayıp ilk ve ortaöğretim kurumlan niteliğindeki, genel medreseler olduğu anlatılır. </w:t>
      </w:r>
      <w:r>
        <w:rPr>
          <w:rStyle w:val="Bodytext2Candara11pt"/>
          <w:i/>
          <w:iCs/>
        </w:rPr>
        <w:t>2</w:t>
      </w:r>
    </w:p>
    <w:p w:rsidR="008A255A" w:rsidRDefault="007B1A20">
      <w:pPr>
        <w:pStyle w:val="Bodytext20"/>
        <w:shd w:val="clear" w:color="auto" w:fill="auto"/>
        <w:spacing w:before="0"/>
        <w:ind w:firstLine="720"/>
        <w:jc w:val="left"/>
      </w:pPr>
      <w:r>
        <w:t xml:space="preserve">Medreselerin dışında, camilerin yanında </w:t>
      </w:r>
      <w:proofErr w:type="spellStart"/>
      <w:r>
        <w:t>Sıbyan</w:t>
      </w:r>
      <w:proofErr w:type="spellEnd"/>
      <w:r>
        <w:t xml:space="preserve"> Mekteplerinin de var olduğunu belirtmek gerekir. Yine Burdur'da kütüphaneler ile birer yaygın eğitim kurumu niteliğinde olan Loncalar (Ahilik) ve camiler de halk eğitiminde etkili olmuştur</w:t>
      </w:r>
    </w:p>
    <w:sectPr w:rsidR="008A255A">
      <w:footerReference w:type="default" r:id="rId7"/>
      <w:pgSz w:w="11900" w:h="16840"/>
      <w:pgMar w:top="1268" w:right="1118" w:bottom="1268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57" w:rsidRDefault="00C61757">
      <w:r>
        <w:separator/>
      </w:r>
    </w:p>
  </w:endnote>
  <w:endnote w:type="continuationSeparator" w:id="0">
    <w:p w:rsidR="00C61757" w:rsidRDefault="00C6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5A" w:rsidRDefault="007B1A2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6772910</wp:posOffset>
              </wp:positionH>
              <wp:positionV relativeFrom="page">
                <wp:posOffset>9724390</wp:posOffset>
              </wp:positionV>
              <wp:extent cx="128270" cy="148590"/>
              <wp:effectExtent l="635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55A" w:rsidRDefault="007B1A2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3.3pt;margin-top:765.7pt;width:10.1pt;height:11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tIqQIAAKY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" filled="f" stroked="f">
              <v:textbox style="mso-fit-shape-to-text:t" inset="0,0,0,0">
                <w:txbxContent>
                  <w:p w:rsidR="008A255A" w:rsidRDefault="007B1A2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57" w:rsidRDefault="00C61757"/>
  </w:footnote>
  <w:footnote w:type="continuationSeparator" w:id="0">
    <w:p w:rsidR="00C61757" w:rsidRDefault="00C617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5A"/>
    <w:rsid w:val="002A37E5"/>
    <w:rsid w:val="00745566"/>
    <w:rsid w:val="007B1A20"/>
    <w:rsid w:val="008669DD"/>
    <w:rsid w:val="008A255A"/>
    <w:rsid w:val="00A820C4"/>
    <w:rsid w:val="00C36C16"/>
    <w:rsid w:val="00C6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VarsaylanParagrafYazTipi"/>
    <w:link w:val="Headerorfooter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odytext2">
    <w:name w:val="Body text (2)_"/>
    <w:basedOn w:val="VarsaylanParagrafYazTipi"/>
    <w:link w:val="Bodytext2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Candara11pt">
    <w:name w:val="Body text (2) + Candara;11 pt"/>
    <w:basedOn w:val="Bodytext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mbria" w:eastAsia="Cambria" w:hAnsi="Cambria" w:cs="Cambria"/>
      <w:spacing w:val="-1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line="263" w:lineRule="exact"/>
      <w:jc w:val="both"/>
    </w:pPr>
    <w:rPr>
      <w:rFonts w:ascii="Cambria" w:eastAsia="Cambria" w:hAnsi="Cambria" w:cs="Cambria"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VarsaylanParagrafYazTipi"/>
    <w:link w:val="Headerorfooter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odytext2">
    <w:name w:val="Body text (2)_"/>
    <w:basedOn w:val="VarsaylanParagrafYazTipi"/>
    <w:link w:val="Bodytext2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Candara11pt">
    <w:name w:val="Body text (2) + Candara;11 pt"/>
    <w:basedOn w:val="Bodytext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mbria" w:eastAsia="Cambria" w:hAnsi="Cambria" w:cs="Cambria"/>
      <w:spacing w:val="-1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line="263" w:lineRule="exact"/>
      <w:jc w:val="both"/>
    </w:pPr>
    <w:rPr>
      <w:rFonts w:ascii="Cambria" w:eastAsia="Cambria" w:hAnsi="Cambria" w:cs="Cambria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Güzel Sanatlar</dc:creator>
  <cp:lastModifiedBy>güzel sanatlar</cp:lastModifiedBy>
  <cp:revision>2</cp:revision>
  <dcterms:created xsi:type="dcterms:W3CDTF">2018-05-25T05:52:00Z</dcterms:created>
  <dcterms:modified xsi:type="dcterms:W3CDTF">2018-05-25T05:52:00Z</dcterms:modified>
</cp:coreProperties>
</file>